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17" w:type="dxa"/>
        <w:tblBorders>
          <w:top w:val="single" w:sz="6" w:space="0" w:color="2E2014"/>
          <w:left w:val="single" w:sz="6" w:space="0" w:color="2E2014"/>
          <w:bottom w:val="single" w:sz="6" w:space="0" w:color="2E2014"/>
          <w:right w:val="single" w:sz="6" w:space="0" w:color="2E2014"/>
          <w:insideH w:val="single" w:sz="6" w:space="0" w:color="2E2014"/>
          <w:insideV w:val="single" w:sz="6" w:space="0" w:color="2E2014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350"/>
        <w:gridCol w:w="954"/>
        <w:gridCol w:w="1303"/>
        <w:gridCol w:w="2253"/>
        <w:gridCol w:w="295"/>
        <w:gridCol w:w="1303"/>
        <w:gridCol w:w="1303"/>
      </w:tblGrid>
      <w:tr w:rsidR="00C93396">
        <w:trPr>
          <w:trHeight w:val="2134"/>
        </w:trPr>
        <w:tc>
          <w:tcPr>
            <w:tcW w:w="2898" w:type="dxa"/>
            <w:gridSpan w:val="2"/>
          </w:tcPr>
          <w:p w:rsidR="00C93396" w:rsidRDefault="00CB7DFF">
            <w:pPr>
              <w:pStyle w:val="TableParagraph"/>
              <w:spacing w:before="55" w:line="249" w:lineRule="auto"/>
              <w:ind w:left="142" w:right="131"/>
              <w:jc w:val="center"/>
              <w:rPr>
                <w:sz w:val="20"/>
              </w:rPr>
            </w:pPr>
            <w:r>
              <w:rPr>
                <w:color w:val="2E2014"/>
                <w:sz w:val="20"/>
              </w:rPr>
              <w:t>Nazwa i adres jednostki sprawozdawczej</w:t>
            </w:r>
          </w:p>
          <w:p w:rsidR="00C93396" w:rsidRDefault="00CB7DFF">
            <w:pPr>
              <w:pStyle w:val="TableParagraph"/>
              <w:spacing w:before="71" w:line="208" w:lineRule="auto"/>
              <w:ind w:left="6" w:right="4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BIBLIOTEKA PUBLICZNA GMINY MARKUSY</w:t>
            </w:r>
          </w:p>
          <w:p w:rsidR="00EE7477" w:rsidRDefault="00EE7477">
            <w:pPr>
              <w:pStyle w:val="TableParagraph"/>
              <w:spacing w:before="71" w:line="208" w:lineRule="auto"/>
              <w:ind w:left="6" w:right="4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ZWIERZNO 32</w:t>
            </w:r>
          </w:p>
          <w:p w:rsidR="00EE7477" w:rsidRDefault="00EE7477">
            <w:pPr>
              <w:pStyle w:val="TableParagraph"/>
              <w:spacing w:before="71" w:line="208" w:lineRule="auto"/>
              <w:ind w:left="6" w:right="4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82-325 MARKUSY</w:t>
            </w:r>
          </w:p>
          <w:p w:rsidR="00C93396" w:rsidRDefault="00C93396">
            <w:pPr>
              <w:pStyle w:val="TableParagraph"/>
              <w:spacing w:before="6"/>
              <w:rPr>
                <w:sz w:val="38"/>
              </w:rPr>
            </w:pPr>
          </w:p>
          <w:p w:rsidR="00C93396" w:rsidRDefault="00CB7DFF">
            <w:pPr>
              <w:pStyle w:val="TableParagraph"/>
              <w:ind w:left="163" w:right="131"/>
              <w:jc w:val="center"/>
              <w:rPr>
                <w:sz w:val="16"/>
              </w:rPr>
            </w:pPr>
            <w:r>
              <w:rPr>
                <w:color w:val="2E2014"/>
                <w:w w:val="99"/>
                <w:sz w:val="16"/>
              </w:rPr>
              <w:t>………</w:t>
            </w:r>
            <w:r>
              <w:rPr>
                <w:color w:val="2E2014"/>
                <w:spacing w:val="1"/>
                <w:w w:val="99"/>
                <w:sz w:val="16"/>
              </w:rPr>
              <w:t>…</w:t>
            </w:r>
            <w:r>
              <w:rPr>
                <w:color w:val="2E2014"/>
                <w:spacing w:val="-123"/>
                <w:w w:val="99"/>
                <w:sz w:val="16"/>
              </w:rPr>
              <w:t>…</w:t>
            </w:r>
            <w:r>
              <w:rPr>
                <w:rFonts w:ascii="Arial" w:hAnsi="Arial"/>
                <w:spacing w:val="-12"/>
                <w:position w:val="9"/>
                <w:sz w:val="24"/>
              </w:rPr>
              <w:t>2</w:t>
            </w:r>
            <w:r>
              <w:rPr>
                <w:color w:val="2E2014"/>
                <w:spacing w:val="-149"/>
                <w:w w:val="99"/>
                <w:sz w:val="16"/>
              </w:rPr>
              <w:t>…</w:t>
            </w:r>
            <w:r>
              <w:rPr>
                <w:rFonts w:ascii="Arial" w:hAnsi="Arial"/>
                <w:spacing w:val="-1"/>
                <w:position w:val="9"/>
                <w:sz w:val="24"/>
              </w:rPr>
              <w:t>8</w:t>
            </w:r>
            <w:r>
              <w:rPr>
                <w:rFonts w:ascii="Arial" w:hAnsi="Arial"/>
                <w:spacing w:val="-119"/>
                <w:position w:val="9"/>
                <w:sz w:val="24"/>
              </w:rPr>
              <w:t>0</w:t>
            </w:r>
            <w:r>
              <w:rPr>
                <w:color w:val="2E2014"/>
                <w:spacing w:val="-42"/>
                <w:w w:val="99"/>
                <w:sz w:val="16"/>
              </w:rPr>
              <w:t>…</w:t>
            </w:r>
            <w:r>
              <w:rPr>
                <w:rFonts w:ascii="Arial" w:hAnsi="Arial"/>
                <w:spacing w:val="-92"/>
                <w:position w:val="9"/>
                <w:sz w:val="24"/>
              </w:rPr>
              <w:t>2</w:t>
            </w:r>
            <w:r>
              <w:rPr>
                <w:color w:val="2E2014"/>
                <w:spacing w:val="-69"/>
                <w:w w:val="99"/>
                <w:sz w:val="16"/>
              </w:rPr>
              <w:t>…</w:t>
            </w:r>
            <w:r>
              <w:rPr>
                <w:rFonts w:ascii="Arial" w:hAnsi="Arial"/>
                <w:spacing w:val="-66"/>
                <w:position w:val="9"/>
                <w:sz w:val="24"/>
              </w:rPr>
              <w:t>4</w:t>
            </w:r>
            <w:r>
              <w:rPr>
                <w:color w:val="2E2014"/>
                <w:spacing w:val="-95"/>
                <w:w w:val="99"/>
                <w:sz w:val="16"/>
              </w:rPr>
              <w:t>…</w:t>
            </w:r>
            <w:r>
              <w:rPr>
                <w:rFonts w:ascii="Arial" w:hAnsi="Arial"/>
                <w:spacing w:val="-39"/>
                <w:position w:val="9"/>
                <w:sz w:val="24"/>
              </w:rPr>
              <w:t>2</w:t>
            </w:r>
            <w:r>
              <w:rPr>
                <w:color w:val="2E2014"/>
                <w:spacing w:val="-121"/>
                <w:w w:val="99"/>
                <w:sz w:val="16"/>
              </w:rPr>
              <w:t>…</w:t>
            </w:r>
            <w:r>
              <w:rPr>
                <w:rFonts w:ascii="Arial" w:hAnsi="Arial"/>
                <w:spacing w:val="-13"/>
                <w:position w:val="9"/>
                <w:sz w:val="24"/>
              </w:rPr>
              <w:t>7</w:t>
            </w:r>
            <w:r>
              <w:rPr>
                <w:color w:val="2E2014"/>
                <w:spacing w:val="-147"/>
                <w:w w:val="99"/>
                <w:sz w:val="16"/>
              </w:rPr>
              <w:t>…</w:t>
            </w:r>
            <w:r>
              <w:rPr>
                <w:rFonts w:ascii="Arial" w:hAnsi="Arial"/>
                <w:spacing w:val="-1"/>
                <w:position w:val="9"/>
                <w:sz w:val="24"/>
              </w:rPr>
              <w:t>3</w:t>
            </w:r>
            <w:r>
              <w:rPr>
                <w:rFonts w:ascii="Arial" w:hAnsi="Arial"/>
                <w:spacing w:val="-119"/>
                <w:position w:val="9"/>
                <w:sz w:val="24"/>
              </w:rPr>
              <w:t>7</w:t>
            </w:r>
            <w:r>
              <w:rPr>
                <w:color w:val="2E2014"/>
                <w:w w:val="99"/>
                <w:sz w:val="16"/>
              </w:rPr>
              <w:t>……</w:t>
            </w:r>
            <w:r>
              <w:rPr>
                <w:color w:val="2E2014"/>
                <w:spacing w:val="1"/>
                <w:w w:val="99"/>
                <w:sz w:val="16"/>
              </w:rPr>
              <w:t>…</w:t>
            </w:r>
            <w:r>
              <w:rPr>
                <w:color w:val="2E2014"/>
                <w:w w:val="99"/>
                <w:sz w:val="16"/>
              </w:rPr>
              <w:t>……</w:t>
            </w:r>
          </w:p>
          <w:p w:rsidR="00C93396" w:rsidRDefault="00CB7DFF">
            <w:pPr>
              <w:pStyle w:val="TableParagraph"/>
              <w:spacing w:before="7"/>
              <w:ind w:left="162" w:right="131"/>
              <w:jc w:val="center"/>
              <w:rPr>
                <w:sz w:val="18"/>
              </w:rPr>
            </w:pPr>
            <w:r>
              <w:rPr>
                <w:color w:val="2E2014"/>
                <w:sz w:val="18"/>
              </w:rPr>
              <w:t>Numer identyfikacyjny REGON</w:t>
            </w:r>
          </w:p>
        </w:tc>
        <w:tc>
          <w:tcPr>
            <w:tcW w:w="4510" w:type="dxa"/>
            <w:gridSpan w:val="3"/>
          </w:tcPr>
          <w:p w:rsidR="00C93396" w:rsidRDefault="00CB7DFF">
            <w:pPr>
              <w:pStyle w:val="TableParagraph"/>
              <w:spacing w:before="54"/>
              <w:ind w:left="174" w:right="148"/>
              <w:jc w:val="center"/>
              <w:rPr>
                <w:b/>
                <w:sz w:val="20"/>
              </w:rPr>
            </w:pPr>
            <w:r>
              <w:rPr>
                <w:b/>
                <w:color w:val="2E2014"/>
                <w:sz w:val="20"/>
              </w:rPr>
              <w:t>BILANS</w:t>
            </w:r>
          </w:p>
          <w:p w:rsidR="00C93396" w:rsidRDefault="00C93396">
            <w:pPr>
              <w:pStyle w:val="TableParagraph"/>
              <w:spacing w:before="2"/>
              <w:rPr>
                <w:sz w:val="32"/>
              </w:rPr>
            </w:pPr>
          </w:p>
          <w:p w:rsidR="00C93396" w:rsidRDefault="00CB7DFF">
            <w:pPr>
              <w:pStyle w:val="TableParagraph"/>
              <w:spacing w:line="249" w:lineRule="auto"/>
              <w:ind w:left="1049" w:right="1020" w:firstLine="301"/>
              <w:rPr>
                <w:b/>
                <w:sz w:val="20"/>
              </w:rPr>
            </w:pPr>
            <w:r>
              <w:rPr>
                <w:b/>
                <w:color w:val="2E2014"/>
                <w:sz w:val="20"/>
              </w:rPr>
              <w:t>jednostki budżetowej lub samorządowego</w:t>
            </w:r>
            <w:r>
              <w:rPr>
                <w:b/>
                <w:color w:val="2E2014"/>
                <w:spacing w:val="-14"/>
                <w:sz w:val="20"/>
              </w:rPr>
              <w:t xml:space="preserve"> </w:t>
            </w:r>
            <w:r>
              <w:rPr>
                <w:b/>
                <w:color w:val="2E2014"/>
                <w:sz w:val="20"/>
              </w:rPr>
              <w:t>zakładu</w:t>
            </w:r>
          </w:p>
          <w:p w:rsidR="00C93396" w:rsidRDefault="00CB7DFF">
            <w:pPr>
              <w:pStyle w:val="TableParagraph"/>
              <w:spacing w:before="1"/>
              <w:ind w:left="1705"/>
              <w:rPr>
                <w:b/>
                <w:sz w:val="20"/>
              </w:rPr>
            </w:pPr>
            <w:r>
              <w:rPr>
                <w:b/>
                <w:color w:val="2E2014"/>
                <w:sz w:val="20"/>
              </w:rPr>
              <w:t>budżetowego</w:t>
            </w:r>
          </w:p>
          <w:p w:rsidR="00C93396" w:rsidRDefault="00C93396">
            <w:pPr>
              <w:pStyle w:val="TableParagraph"/>
              <w:spacing w:before="8"/>
              <w:rPr>
                <w:sz w:val="30"/>
              </w:rPr>
            </w:pPr>
          </w:p>
          <w:p w:rsidR="00C93396" w:rsidRDefault="00CB7DFF">
            <w:pPr>
              <w:pStyle w:val="TableParagraph"/>
              <w:spacing w:before="1"/>
              <w:ind w:left="176" w:right="148"/>
              <w:jc w:val="center"/>
              <w:rPr>
                <w:b/>
                <w:sz w:val="20"/>
              </w:rPr>
            </w:pPr>
            <w:r>
              <w:rPr>
                <w:b/>
                <w:color w:val="2E2014"/>
                <w:sz w:val="20"/>
              </w:rPr>
              <w:t>spor</w:t>
            </w:r>
            <w:r>
              <w:rPr>
                <w:b/>
                <w:color w:val="2E2014"/>
                <w:spacing w:val="-2"/>
                <w:sz w:val="20"/>
              </w:rPr>
              <w:t>z</w:t>
            </w:r>
            <w:r>
              <w:rPr>
                <w:b/>
                <w:color w:val="2E2014"/>
                <w:sz w:val="20"/>
              </w:rPr>
              <w:t>ąd</w:t>
            </w:r>
            <w:r>
              <w:rPr>
                <w:b/>
                <w:color w:val="2E2014"/>
                <w:spacing w:val="-2"/>
                <w:sz w:val="20"/>
              </w:rPr>
              <w:t>z</w:t>
            </w:r>
            <w:r>
              <w:rPr>
                <w:b/>
                <w:color w:val="2E2014"/>
                <w:sz w:val="20"/>
              </w:rPr>
              <w:t>o</w:t>
            </w:r>
            <w:r>
              <w:rPr>
                <w:b/>
                <w:color w:val="2E2014"/>
                <w:spacing w:val="-2"/>
                <w:sz w:val="20"/>
              </w:rPr>
              <w:t>n</w:t>
            </w:r>
            <w:r>
              <w:rPr>
                <w:b/>
                <w:color w:val="2E2014"/>
                <w:sz w:val="20"/>
              </w:rPr>
              <w:t>y</w:t>
            </w:r>
            <w:r>
              <w:rPr>
                <w:b/>
                <w:color w:val="2E2014"/>
                <w:spacing w:val="-1"/>
                <w:sz w:val="20"/>
              </w:rPr>
              <w:t xml:space="preserve"> </w:t>
            </w:r>
            <w:r>
              <w:rPr>
                <w:b/>
                <w:color w:val="2E2014"/>
                <w:sz w:val="20"/>
              </w:rPr>
              <w:t>na</w:t>
            </w:r>
            <w:r>
              <w:rPr>
                <w:b/>
                <w:color w:val="2E2014"/>
                <w:spacing w:val="-1"/>
                <w:sz w:val="20"/>
              </w:rPr>
              <w:t xml:space="preserve"> </w:t>
            </w:r>
            <w:r>
              <w:rPr>
                <w:b/>
                <w:color w:val="2E2014"/>
                <w:sz w:val="20"/>
              </w:rPr>
              <w:t>d</w:t>
            </w:r>
            <w:r>
              <w:rPr>
                <w:b/>
                <w:color w:val="2E2014"/>
                <w:spacing w:val="-2"/>
                <w:sz w:val="20"/>
              </w:rPr>
              <w:t>z</w:t>
            </w:r>
            <w:r>
              <w:rPr>
                <w:b/>
                <w:color w:val="2E2014"/>
                <w:spacing w:val="-1"/>
                <w:sz w:val="20"/>
              </w:rPr>
              <w:t>i</w:t>
            </w:r>
            <w:r>
              <w:rPr>
                <w:b/>
                <w:color w:val="2E2014"/>
                <w:sz w:val="20"/>
              </w:rPr>
              <w:t xml:space="preserve">eń </w:t>
            </w:r>
            <w:r>
              <w:rPr>
                <w:color w:val="2E2014"/>
                <w:w w:val="99"/>
                <w:sz w:val="16"/>
              </w:rPr>
              <w:t>…</w:t>
            </w:r>
            <w:r>
              <w:rPr>
                <w:color w:val="2E2014"/>
                <w:spacing w:val="1"/>
                <w:w w:val="99"/>
                <w:sz w:val="16"/>
              </w:rPr>
              <w:t>…</w:t>
            </w:r>
            <w:r>
              <w:rPr>
                <w:color w:val="2E2014"/>
                <w:spacing w:val="-9"/>
                <w:w w:val="99"/>
                <w:sz w:val="16"/>
              </w:rPr>
              <w:t>…</w:t>
            </w:r>
            <w:r>
              <w:rPr>
                <w:rFonts w:ascii="Arial" w:hAnsi="Arial"/>
                <w:spacing w:val="-148"/>
                <w:position w:val="6"/>
                <w:sz w:val="28"/>
              </w:rPr>
              <w:t>3</w:t>
            </w:r>
            <w:r>
              <w:rPr>
                <w:color w:val="2E2014"/>
                <w:spacing w:val="-12"/>
                <w:w w:val="99"/>
                <w:sz w:val="16"/>
              </w:rPr>
              <w:t>…</w:t>
            </w:r>
            <w:r>
              <w:rPr>
                <w:rFonts w:ascii="Arial" w:hAnsi="Arial"/>
                <w:spacing w:val="-144"/>
                <w:position w:val="6"/>
                <w:sz w:val="28"/>
              </w:rPr>
              <w:t>1</w:t>
            </w:r>
            <w:r>
              <w:rPr>
                <w:color w:val="2E2014"/>
                <w:spacing w:val="-16"/>
                <w:w w:val="99"/>
                <w:sz w:val="16"/>
              </w:rPr>
              <w:t>…</w:t>
            </w:r>
            <w:r>
              <w:rPr>
                <w:rFonts w:ascii="Arial" w:hAnsi="Arial"/>
                <w:spacing w:val="-62"/>
                <w:position w:val="6"/>
                <w:sz w:val="28"/>
              </w:rPr>
              <w:t>.</w:t>
            </w:r>
            <w:r>
              <w:rPr>
                <w:color w:val="2E2014"/>
                <w:spacing w:val="-98"/>
                <w:w w:val="99"/>
                <w:sz w:val="16"/>
              </w:rPr>
              <w:t>…</w:t>
            </w:r>
            <w:r>
              <w:rPr>
                <w:rFonts w:ascii="Arial" w:hAnsi="Arial"/>
                <w:spacing w:val="-57"/>
                <w:position w:val="6"/>
                <w:sz w:val="28"/>
              </w:rPr>
              <w:t>1</w:t>
            </w:r>
            <w:r>
              <w:rPr>
                <w:color w:val="2E2014"/>
                <w:spacing w:val="-103"/>
                <w:w w:val="99"/>
                <w:sz w:val="16"/>
              </w:rPr>
              <w:t>…</w:t>
            </w:r>
            <w:r>
              <w:rPr>
                <w:rFonts w:ascii="Arial" w:hAnsi="Arial"/>
                <w:spacing w:val="-53"/>
                <w:position w:val="6"/>
                <w:sz w:val="28"/>
              </w:rPr>
              <w:t>2</w:t>
            </w:r>
            <w:r>
              <w:rPr>
                <w:color w:val="2E2014"/>
                <w:spacing w:val="-107"/>
                <w:w w:val="99"/>
                <w:sz w:val="16"/>
              </w:rPr>
              <w:t>…</w:t>
            </w:r>
            <w:r>
              <w:rPr>
                <w:rFonts w:ascii="Arial" w:hAnsi="Arial"/>
                <w:position w:val="6"/>
                <w:sz w:val="28"/>
              </w:rPr>
              <w:t>.</w:t>
            </w:r>
            <w:r>
              <w:rPr>
                <w:rFonts w:ascii="Arial" w:hAnsi="Arial"/>
                <w:spacing w:val="-49"/>
                <w:position w:val="6"/>
                <w:sz w:val="28"/>
              </w:rPr>
              <w:t xml:space="preserve"> </w:t>
            </w:r>
            <w:r>
              <w:rPr>
                <w:color w:val="2E2014"/>
                <w:w w:val="99"/>
                <w:sz w:val="16"/>
              </w:rPr>
              <w:t>…</w:t>
            </w:r>
            <w:r>
              <w:rPr>
                <w:color w:val="2E2014"/>
                <w:spacing w:val="11"/>
                <w:sz w:val="16"/>
              </w:rPr>
              <w:t xml:space="preserve"> </w:t>
            </w:r>
            <w:r>
              <w:rPr>
                <w:b/>
                <w:color w:val="2E2014"/>
                <w:spacing w:val="1"/>
                <w:sz w:val="20"/>
              </w:rPr>
              <w:t>2</w:t>
            </w:r>
            <w:r>
              <w:rPr>
                <w:b/>
                <w:color w:val="2E2014"/>
                <w:sz w:val="20"/>
              </w:rPr>
              <w:t>0</w:t>
            </w:r>
            <w:r>
              <w:rPr>
                <w:b/>
                <w:color w:val="2E2014"/>
                <w:spacing w:val="-1"/>
                <w:sz w:val="20"/>
              </w:rPr>
              <w:t xml:space="preserve"> </w:t>
            </w:r>
            <w:r>
              <w:rPr>
                <w:color w:val="2E2014"/>
                <w:spacing w:val="-104"/>
                <w:w w:val="99"/>
                <w:sz w:val="16"/>
              </w:rPr>
              <w:t>…</w:t>
            </w:r>
            <w:r>
              <w:rPr>
                <w:rFonts w:ascii="Arial" w:hAnsi="Arial"/>
                <w:spacing w:val="-53"/>
                <w:position w:val="2"/>
                <w:sz w:val="28"/>
              </w:rPr>
              <w:t>2</w:t>
            </w:r>
            <w:r>
              <w:rPr>
                <w:color w:val="2E2014"/>
                <w:spacing w:val="-108"/>
                <w:w w:val="99"/>
                <w:sz w:val="16"/>
              </w:rPr>
              <w:t>…</w:t>
            </w:r>
            <w:r w:rsidR="00EE7477">
              <w:rPr>
                <w:rFonts w:ascii="Arial" w:hAnsi="Arial"/>
                <w:spacing w:val="1"/>
                <w:position w:val="2"/>
                <w:sz w:val="28"/>
              </w:rPr>
              <w:t>2</w:t>
            </w:r>
            <w:r>
              <w:rPr>
                <w:b/>
                <w:color w:val="2E2014"/>
                <w:sz w:val="20"/>
              </w:rPr>
              <w:t>r.</w:t>
            </w:r>
          </w:p>
        </w:tc>
        <w:tc>
          <w:tcPr>
            <w:tcW w:w="2901" w:type="dxa"/>
            <w:gridSpan w:val="3"/>
          </w:tcPr>
          <w:p w:rsidR="00C93396" w:rsidRDefault="00CB7DFF">
            <w:pPr>
              <w:pStyle w:val="TableParagraph"/>
              <w:spacing w:before="55"/>
              <w:ind w:left="133" w:right="132"/>
              <w:jc w:val="center"/>
              <w:rPr>
                <w:sz w:val="20"/>
              </w:rPr>
            </w:pPr>
            <w:r>
              <w:rPr>
                <w:color w:val="2E2014"/>
                <w:sz w:val="20"/>
              </w:rPr>
              <w:t>Adresat</w:t>
            </w:r>
          </w:p>
          <w:p w:rsidR="00C93396" w:rsidRDefault="00C93396">
            <w:pPr>
              <w:pStyle w:val="TableParagraph"/>
            </w:pPr>
          </w:p>
          <w:p w:rsidR="00C93396" w:rsidRDefault="00C93396">
            <w:pPr>
              <w:pStyle w:val="TableParagraph"/>
            </w:pPr>
          </w:p>
          <w:p w:rsidR="00C93396" w:rsidRDefault="00CB7DFF">
            <w:pPr>
              <w:pStyle w:val="TableParagraph"/>
              <w:spacing w:before="188"/>
              <w:ind w:left="153" w:right="12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GMINA MARKUSY</w:t>
            </w:r>
          </w:p>
          <w:p w:rsidR="00C93396" w:rsidRDefault="00C93396">
            <w:pPr>
              <w:pStyle w:val="TableParagraph"/>
              <w:rPr>
                <w:sz w:val="26"/>
              </w:rPr>
            </w:pPr>
          </w:p>
          <w:p w:rsidR="00C93396" w:rsidRDefault="00C93396">
            <w:pPr>
              <w:pStyle w:val="TableParagraph"/>
              <w:spacing w:before="1"/>
              <w:rPr>
                <w:sz w:val="33"/>
              </w:rPr>
            </w:pPr>
          </w:p>
          <w:p w:rsidR="00C93396" w:rsidRDefault="00CB7DFF">
            <w:pPr>
              <w:pStyle w:val="TableParagraph"/>
              <w:spacing w:line="179" w:lineRule="exact"/>
              <w:ind w:left="153" w:right="132"/>
              <w:jc w:val="center"/>
              <w:rPr>
                <w:sz w:val="16"/>
              </w:rPr>
            </w:pPr>
            <w:r>
              <w:rPr>
                <w:color w:val="2E2014"/>
                <w:sz w:val="16"/>
              </w:rPr>
              <w:t>…………………………………………</w:t>
            </w:r>
          </w:p>
        </w:tc>
      </w:tr>
      <w:tr w:rsidR="00C93396">
        <w:trPr>
          <w:trHeight w:val="827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837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AKTYWA</w:t>
            </w:r>
          </w:p>
        </w:tc>
        <w:tc>
          <w:tcPr>
            <w:tcW w:w="1304" w:type="dxa"/>
            <w:gridSpan w:val="2"/>
          </w:tcPr>
          <w:p w:rsidR="00C93396" w:rsidRDefault="00CB7DFF">
            <w:pPr>
              <w:pStyle w:val="TableParagraph"/>
              <w:spacing w:before="54" w:line="249" w:lineRule="auto"/>
              <w:ind w:left="301" w:right="268" w:hanging="2"/>
              <w:jc w:val="center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Stan na początek roku</w:t>
            </w:r>
          </w:p>
        </w:tc>
        <w:tc>
          <w:tcPr>
            <w:tcW w:w="1303" w:type="dxa"/>
          </w:tcPr>
          <w:p w:rsidR="00C93396" w:rsidRDefault="00CB7DFF">
            <w:pPr>
              <w:pStyle w:val="TableParagraph"/>
              <w:spacing w:before="53" w:line="249" w:lineRule="auto"/>
              <w:ind w:left="392" w:right="319" w:hanging="45"/>
              <w:jc w:val="both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Stan na koniec roku</w:t>
            </w: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4"/>
              <w:ind w:left="872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PASYWA</w:t>
            </w:r>
          </w:p>
        </w:tc>
        <w:tc>
          <w:tcPr>
            <w:tcW w:w="1303" w:type="dxa"/>
          </w:tcPr>
          <w:p w:rsidR="00C93396" w:rsidRDefault="00CB7DFF">
            <w:pPr>
              <w:pStyle w:val="TableParagraph"/>
              <w:spacing w:before="53" w:line="249" w:lineRule="auto"/>
              <w:ind w:left="296" w:right="272" w:hanging="2"/>
              <w:jc w:val="center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Stan na początek roku</w:t>
            </w:r>
          </w:p>
        </w:tc>
        <w:tc>
          <w:tcPr>
            <w:tcW w:w="1303" w:type="dxa"/>
          </w:tcPr>
          <w:p w:rsidR="00C93396" w:rsidRDefault="00CB7DFF">
            <w:pPr>
              <w:pStyle w:val="TableParagraph"/>
              <w:spacing w:before="53" w:line="249" w:lineRule="auto"/>
              <w:ind w:left="389" w:right="324" w:hanging="46"/>
              <w:jc w:val="both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Stan na koniec roku</w:t>
            </w:r>
          </w:p>
        </w:tc>
      </w:tr>
      <w:tr w:rsidR="00C93396">
        <w:trPr>
          <w:trHeight w:val="379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A. Aktywa trwałe</w:t>
            </w:r>
          </w:p>
        </w:tc>
        <w:tc>
          <w:tcPr>
            <w:tcW w:w="1304" w:type="dxa"/>
            <w:gridSpan w:val="2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5"/>
              <w:ind w:left="52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A. Fundusze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547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230" w:right="384" w:hanging="175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I. Wartości niematerialne i prawne</w:t>
            </w:r>
          </w:p>
        </w:tc>
        <w:tc>
          <w:tcPr>
            <w:tcW w:w="1304" w:type="dxa"/>
            <w:gridSpan w:val="2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5"/>
              <w:ind w:left="52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I. Fundusz jednostki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spacing w:before="3"/>
              <w:rPr>
                <w:sz w:val="27"/>
              </w:rPr>
            </w:pPr>
          </w:p>
          <w:p w:rsidR="00C93396" w:rsidRDefault="00EE7477">
            <w:pPr>
              <w:pStyle w:val="TableParagraph"/>
              <w:spacing w:before="1" w:line="213" w:lineRule="exact"/>
              <w:ind w:right="27"/>
              <w:jc w:val="right"/>
              <w:rPr>
                <w:rFonts w:ascii="Arial"/>
              </w:rPr>
            </w:pPr>
            <w:r>
              <w:rPr>
                <w:rFonts w:ascii="Arial"/>
              </w:rPr>
              <w:t>31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153,85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spacing w:before="10"/>
              <w:rPr>
                <w:sz w:val="25"/>
              </w:rPr>
            </w:pPr>
          </w:p>
          <w:p w:rsidR="00C93396" w:rsidRDefault="00EE7477">
            <w:pPr>
              <w:pStyle w:val="TableParagraph"/>
              <w:spacing w:line="230" w:lineRule="exact"/>
              <w:ind w:right="20"/>
              <w:jc w:val="right"/>
              <w:rPr>
                <w:rFonts w:ascii="Arial"/>
              </w:rPr>
            </w:pPr>
            <w:r>
              <w:rPr>
                <w:rFonts w:ascii="Arial"/>
              </w:rPr>
              <w:t>15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334,95</w:t>
            </w:r>
          </w:p>
        </w:tc>
      </w:tr>
      <w:tr w:rsidR="00C93396">
        <w:trPr>
          <w:trHeight w:val="534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II. Rzeczowe aktywa trwałe</w:t>
            </w:r>
          </w:p>
        </w:tc>
        <w:tc>
          <w:tcPr>
            <w:tcW w:w="1304" w:type="dxa"/>
            <w:gridSpan w:val="2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5"/>
              <w:ind w:left="297" w:right="797" w:hanging="245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II. Wynik finansowy netto (+, –)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spacing w:before="8"/>
              <w:rPr>
                <w:sz w:val="24"/>
              </w:rPr>
            </w:pPr>
          </w:p>
          <w:p w:rsidR="00C93396" w:rsidRDefault="00CB7DFF" w:rsidP="00EE7477">
            <w:pPr>
              <w:pStyle w:val="TableParagraph"/>
              <w:spacing w:before="1" w:line="230" w:lineRule="exact"/>
              <w:ind w:right="18"/>
              <w:jc w:val="right"/>
              <w:rPr>
                <w:rFonts w:ascii="Arial"/>
              </w:rPr>
            </w:pPr>
            <w:r>
              <w:rPr>
                <w:rFonts w:ascii="Arial"/>
              </w:rPr>
              <w:t>-</w:t>
            </w:r>
            <w:r w:rsidR="00EE7477">
              <w:rPr>
                <w:rFonts w:ascii="Arial"/>
              </w:rPr>
              <w:t>15</w:t>
            </w:r>
            <w:r w:rsidR="00EE7477">
              <w:rPr>
                <w:rFonts w:ascii="Arial"/>
              </w:rPr>
              <w:t> </w:t>
            </w:r>
            <w:r w:rsidR="00EE7477">
              <w:rPr>
                <w:rFonts w:ascii="Arial"/>
              </w:rPr>
              <w:t>818,90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spacing w:before="2"/>
              <w:rPr>
                <w:sz w:val="26"/>
              </w:rPr>
            </w:pPr>
          </w:p>
          <w:p w:rsidR="00C93396" w:rsidRDefault="00EE7477">
            <w:pPr>
              <w:pStyle w:val="TableParagraph"/>
              <w:spacing w:line="214" w:lineRule="exact"/>
              <w:ind w:right="15"/>
              <w:jc w:val="right"/>
              <w:rPr>
                <w:rFonts w:ascii="Arial"/>
              </w:rPr>
            </w:pPr>
            <w:r>
              <w:rPr>
                <w:rFonts w:ascii="Arial"/>
              </w:rPr>
              <w:t>-15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506,46</w:t>
            </w:r>
          </w:p>
        </w:tc>
      </w:tr>
      <w:tr w:rsidR="00C93396">
        <w:trPr>
          <w:trHeight w:val="379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1. Środki trwałe</w:t>
            </w:r>
          </w:p>
        </w:tc>
        <w:tc>
          <w:tcPr>
            <w:tcW w:w="1304" w:type="dxa"/>
            <w:gridSpan w:val="2"/>
          </w:tcPr>
          <w:p w:rsidR="00C93396" w:rsidRPr="00B74A35" w:rsidRDefault="00B74A35" w:rsidP="00B74A35">
            <w:pPr>
              <w:pStyle w:val="TableParagraph"/>
              <w:spacing w:before="139" w:line="220" w:lineRule="exact"/>
              <w:rPr>
                <w:rFonts w:ascii="Arial"/>
              </w:rPr>
            </w:pPr>
            <w:r>
              <w:rPr>
                <w:rFonts w:ascii="Arial"/>
                <w:sz w:val="24"/>
                <w:szCs w:val="24"/>
              </w:rPr>
              <w:t xml:space="preserve">  21 459,</w:t>
            </w:r>
            <w:r>
              <w:rPr>
                <w:rFonts w:ascii="Arial"/>
              </w:rPr>
              <w:t>29</w:t>
            </w:r>
          </w:p>
        </w:tc>
        <w:tc>
          <w:tcPr>
            <w:tcW w:w="1303" w:type="dxa"/>
          </w:tcPr>
          <w:p w:rsidR="00C93396" w:rsidRDefault="00EE7477" w:rsidP="00B74A35">
            <w:pPr>
              <w:pStyle w:val="TableParagraph"/>
              <w:spacing w:before="155" w:line="204" w:lineRule="exact"/>
              <w:ind w:right="22"/>
              <w:jc w:val="right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5"/>
              <w:ind w:left="52"/>
              <w:rPr>
                <w:sz w:val="19"/>
              </w:rPr>
            </w:pPr>
            <w:r>
              <w:rPr>
                <w:color w:val="2E2014"/>
                <w:sz w:val="19"/>
              </w:rPr>
              <w:t>1. Zysk netto (+)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379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1.1. Grunty</w:t>
            </w:r>
          </w:p>
        </w:tc>
        <w:tc>
          <w:tcPr>
            <w:tcW w:w="1304" w:type="dxa"/>
            <w:gridSpan w:val="2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5"/>
              <w:ind w:left="52"/>
              <w:rPr>
                <w:sz w:val="19"/>
              </w:rPr>
            </w:pPr>
            <w:r>
              <w:rPr>
                <w:color w:val="2E2014"/>
                <w:sz w:val="19"/>
              </w:rPr>
              <w:t>2. Strata netto (–)</w:t>
            </w:r>
          </w:p>
        </w:tc>
        <w:tc>
          <w:tcPr>
            <w:tcW w:w="1303" w:type="dxa"/>
          </w:tcPr>
          <w:p w:rsidR="00C93396" w:rsidRDefault="00CB7DFF" w:rsidP="00EE7477">
            <w:pPr>
              <w:pStyle w:val="TableParagraph"/>
              <w:spacing w:before="140" w:line="219" w:lineRule="exact"/>
              <w:ind w:right="18"/>
              <w:jc w:val="right"/>
              <w:rPr>
                <w:rFonts w:ascii="Arial"/>
              </w:rPr>
            </w:pPr>
            <w:r>
              <w:rPr>
                <w:rFonts w:ascii="Arial"/>
              </w:rPr>
              <w:t>-</w:t>
            </w:r>
            <w:r w:rsidR="00EE7477">
              <w:rPr>
                <w:rFonts w:ascii="Arial"/>
              </w:rPr>
              <w:t>15</w:t>
            </w:r>
            <w:r w:rsidR="00EE7477">
              <w:rPr>
                <w:rFonts w:ascii="Arial"/>
              </w:rPr>
              <w:t> </w:t>
            </w:r>
            <w:r w:rsidR="00EE7477">
              <w:rPr>
                <w:rFonts w:ascii="Arial"/>
              </w:rPr>
              <w:t>818,90</w:t>
            </w:r>
          </w:p>
        </w:tc>
        <w:tc>
          <w:tcPr>
            <w:tcW w:w="1303" w:type="dxa"/>
          </w:tcPr>
          <w:p w:rsidR="00C93396" w:rsidRDefault="00EE7477">
            <w:pPr>
              <w:pStyle w:val="TableParagraph"/>
              <w:spacing w:before="157" w:line="203" w:lineRule="exact"/>
              <w:ind w:right="15"/>
              <w:jc w:val="right"/>
              <w:rPr>
                <w:rFonts w:ascii="Arial"/>
              </w:rPr>
            </w:pPr>
            <w:r>
              <w:rPr>
                <w:rFonts w:ascii="Arial"/>
              </w:rPr>
              <w:t>-15 506,46</w:t>
            </w:r>
          </w:p>
        </w:tc>
      </w:tr>
      <w:tr w:rsidR="00C93396">
        <w:trPr>
          <w:trHeight w:val="1422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 w:line="249" w:lineRule="auto"/>
              <w:ind w:left="555" w:hanging="500"/>
              <w:rPr>
                <w:sz w:val="19"/>
              </w:rPr>
            </w:pPr>
            <w:r>
              <w:rPr>
                <w:color w:val="2E2014"/>
                <w:sz w:val="19"/>
              </w:rPr>
              <w:t xml:space="preserve">1.1.1. </w:t>
            </w:r>
            <w:r>
              <w:rPr>
                <w:color w:val="2E2014"/>
                <w:spacing w:val="-3"/>
                <w:sz w:val="19"/>
              </w:rPr>
              <w:t xml:space="preserve">Grunty stanowiące </w:t>
            </w:r>
            <w:r>
              <w:rPr>
                <w:color w:val="2E2014"/>
                <w:sz w:val="19"/>
              </w:rPr>
              <w:t xml:space="preserve">własność jednostki samorządu </w:t>
            </w:r>
            <w:r>
              <w:rPr>
                <w:color w:val="2E2014"/>
                <w:spacing w:val="-3"/>
                <w:sz w:val="19"/>
              </w:rPr>
              <w:t xml:space="preserve">terytorialnego, przekazane </w:t>
            </w:r>
            <w:r>
              <w:rPr>
                <w:color w:val="2E2014"/>
                <w:sz w:val="19"/>
              </w:rPr>
              <w:t xml:space="preserve">w </w:t>
            </w:r>
            <w:r>
              <w:rPr>
                <w:color w:val="2E2014"/>
                <w:spacing w:val="-3"/>
                <w:sz w:val="19"/>
              </w:rPr>
              <w:t xml:space="preserve">użytkowa- </w:t>
            </w:r>
            <w:r>
              <w:rPr>
                <w:color w:val="2E2014"/>
                <w:sz w:val="19"/>
              </w:rPr>
              <w:t>nie wieczyste innym</w:t>
            </w:r>
          </w:p>
          <w:p w:rsidR="00C93396" w:rsidRDefault="00CB7DFF">
            <w:pPr>
              <w:pStyle w:val="TableParagraph"/>
              <w:spacing w:before="1" w:line="210" w:lineRule="exact"/>
              <w:ind w:left="555"/>
              <w:rPr>
                <w:sz w:val="19"/>
              </w:rPr>
            </w:pPr>
            <w:r>
              <w:rPr>
                <w:color w:val="2E2014"/>
                <w:sz w:val="19"/>
              </w:rPr>
              <w:t>podmiotom</w:t>
            </w:r>
          </w:p>
        </w:tc>
        <w:tc>
          <w:tcPr>
            <w:tcW w:w="1304" w:type="dxa"/>
            <w:gridSpan w:val="2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3" w:line="249" w:lineRule="auto"/>
              <w:ind w:left="385" w:right="90" w:hanging="333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III. Odpisy z wyniku finansowego (nadwyżka środków obrotowych) (–)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772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1.2. Budynki, lokale</w:t>
            </w:r>
          </w:p>
          <w:p w:rsidR="00C93396" w:rsidRDefault="00CB7DFF">
            <w:pPr>
              <w:pStyle w:val="TableParagraph"/>
              <w:spacing w:before="8" w:line="249" w:lineRule="auto"/>
              <w:ind w:left="405" w:right="662"/>
              <w:rPr>
                <w:sz w:val="19"/>
              </w:rPr>
            </w:pPr>
            <w:r>
              <w:rPr>
                <w:color w:val="2E2014"/>
                <w:sz w:val="19"/>
              </w:rPr>
              <w:t>i obiekty inżynierii lądowej i wodnej</w:t>
            </w:r>
          </w:p>
        </w:tc>
        <w:tc>
          <w:tcPr>
            <w:tcW w:w="1304" w:type="dxa"/>
            <w:gridSpan w:val="2"/>
          </w:tcPr>
          <w:p w:rsidR="00C93396" w:rsidRDefault="00C93396">
            <w:pPr>
              <w:pStyle w:val="TableParagraph"/>
              <w:rPr>
                <w:sz w:val="26"/>
              </w:rPr>
            </w:pPr>
          </w:p>
          <w:p w:rsidR="00C93396" w:rsidRDefault="00EE7477">
            <w:pPr>
              <w:pStyle w:val="TableParagraph"/>
              <w:spacing w:before="185" w:line="268" w:lineRule="exact"/>
              <w:ind w:left="20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</w:t>
            </w:r>
            <w:r w:rsidR="00B74A35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459,29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26"/>
              </w:rPr>
            </w:pPr>
          </w:p>
          <w:p w:rsidR="00C93396" w:rsidRDefault="00C93396">
            <w:pPr>
              <w:pStyle w:val="TableParagraph"/>
              <w:spacing w:before="201" w:line="252" w:lineRule="exact"/>
              <w:jc w:val="right"/>
              <w:rPr>
                <w:rFonts w:ascii="Arial"/>
                <w:sz w:val="24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3" w:line="249" w:lineRule="auto"/>
              <w:ind w:left="374" w:right="847" w:hanging="322"/>
              <w:jc w:val="both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IV. Fundusz mienia zlikwidowanych jednostek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365"/>
        </w:trPr>
        <w:tc>
          <w:tcPr>
            <w:tcW w:w="2548" w:type="dxa"/>
            <w:vMerge w:val="restart"/>
          </w:tcPr>
          <w:p w:rsidR="00C93396" w:rsidRDefault="00CB7DFF">
            <w:pPr>
              <w:pStyle w:val="TableParagraph"/>
              <w:spacing w:before="55" w:line="249" w:lineRule="auto"/>
              <w:ind w:left="405" w:right="1260" w:hanging="350"/>
              <w:rPr>
                <w:sz w:val="19"/>
              </w:rPr>
            </w:pPr>
            <w:r>
              <w:rPr>
                <w:color w:val="2E2014"/>
                <w:sz w:val="19"/>
              </w:rPr>
              <w:t>1.3. Urządzenia techniczne</w:t>
            </w:r>
          </w:p>
          <w:p w:rsidR="00C93396" w:rsidRDefault="00CB7DFF">
            <w:pPr>
              <w:pStyle w:val="TableParagraph"/>
              <w:spacing w:line="217" w:lineRule="exact"/>
              <w:ind w:left="405"/>
              <w:rPr>
                <w:sz w:val="19"/>
              </w:rPr>
            </w:pPr>
            <w:r>
              <w:rPr>
                <w:color w:val="2E2014"/>
                <w:sz w:val="19"/>
              </w:rPr>
              <w:t>i</w:t>
            </w:r>
            <w:r>
              <w:rPr>
                <w:color w:val="2E2014"/>
                <w:spacing w:val="-4"/>
                <w:sz w:val="19"/>
              </w:rPr>
              <w:t xml:space="preserve"> </w:t>
            </w:r>
            <w:r>
              <w:rPr>
                <w:color w:val="2E2014"/>
                <w:sz w:val="19"/>
              </w:rPr>
              <w:t>maszyny</w:t>
            </w:r>
          </w:p>
        </w:tc>
        <w:tc>
          <w:tcPr>
            <w:tcW w:w="1304" w:type="dxa"/>
            <w:gridSpan w:val="2"/>
            <w:vMerge w:val="restart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vMerge w:val="restart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5"/>
              <w:ind w:left="52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B. Fundusze placówek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366"/>
        </w:trPr>
        <w:tc>
          <w:tcPr>
            <w:tcW w:w="2548" w:type="dxa"/>
            <w:vMerge/>
            <w:tcBorders>
              <w:top w:val="nil"/>
            </w:tcBorders>
          </w:tcPr>
          <w:p w:rsidR="00C93396" w:rsidRDefault="00C93396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</w:tcBorders>
          </w:tcPr>
          <w:p w:rsidR="00C93396" w:rsidRDefault="00C93396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C93396" w:rsidRDefault="00C9339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5"/>
              <w:ind w:left="52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 xml:space="preserve">C. Państwowe </w:t>
            </w:r>
            <w:r>
              <w:rPr>
                <w:b/>
                <w:color w:val="2E2014"/>
                <w:spacing w:val="-3"/>
                <w:sz w:val="19"/>
              </w:rPr>
              <w:t xml:space="preserve">fundusze </w:t>
            </w:r>
            <w:r>
              <w:rPr>
                <w:b/>
                <w:color w:val="2E2014"/>
                <w:sz w:val="19"/>
              </w:rPr>
              <w:t>celowe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546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1.4. Środki transportu</w:t>
            </w:r>
          </w:p>
        </w:tc>
        <w:tc>
          <w:tcPr>
            <w:tcW w:w="1304" w:type="dxa"/>
            <w:gridSpan w:val="2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3" w:line="249" w:lineRule="auto"/>
              <w:ind w:left="296" w:right="286" w:hanging="244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D. Zobowiązania i rezerwy na zobowiązania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547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4"/>
              <w:rPr>
                <w:sz w:val="19"/>
              </w:rPr>
            </w:pPr>
            <w:r>
              <w:rPr>
                <w:color w:val="2E2014"/>
                <w:sz w:val="19"/>
              </w:rPr>
              <w:t>1.5. Inne środki trwałe</w:t>
            </w:r>
          </w:p>
        </w:tc>
        <w:tc>
          <w:tcPr>
            <w:tcW w:w="1304" w:type="dxa"/>
            <w:gridSpan w:val="2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5"/>
              <w:ind w:left="213" w:right="980" w:hanging="162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I. Zobowiązania długoterminowe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586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 w:line="249" w:lineRule="auto"/>
              <w:ind w:left="255" w:right="236" w:hanging="201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2. Środki trwałe w budowie (inwestycje)</w:t>
            </w:r>
          </w:p>
        </w:tc>
        <w:tc>
          <w:tcPr>
            <w:tcW w:w="1304" w:type="dxa"/>
            <w:gridSpan w:val="2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5"/>
              <w:ind w:left="297" w:right="801" w:hanging="247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II. Zobowiązania krótkoterminowe</w:t>
            </w:r>
          </w:p>
        </w:tc>
        <w:tc>
          <w:tcPr>
            <w:tcW w:w="1303" w:type="dxa"/>
          </w:tcPr>
          <w:p w:rsidR="00C93396" w:rsidRPr="00B74A35" w:rsidRDefault="00B74A35" w:rsidP="00B74A35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EE7477" w:rsidRPr="00B74A35">
              <w:rPr>
                <w:rFonts w:ascii="Arial" w:hAnsi="Arial" w:cs="Arial"/>
                <w:sz w:val="24"/>
                <w:szCs w:val="24"/>
              </w:rPr>
              <w:t>234,34</w:t>
            </w:r>
          </w:p>
        </w:tc>
        <w:tc>
          <w:tcPr>
            <w:tcW w:w="1303" w:type="dxa"/>
          </w:tcPr>
          <w:p w:rsidR="00C93396" w:rsidRPr="00B74A35" w:rsidRDefault="00C93396" w:rsidP="00B74A35">
            <w:pPr>
              <w:pStyle w:val="TableParagraph"/>
              <w:spacing w:before="3"/>
              <w:jc w:val="right"/>
              <w:rPr>
                <w:sz w:val="24"/>
                <w:szCs w:val="24"/>
              </w:rPr>
            </w:pPr>
          </w:p>
          <w:p w:rsidR="00C93396" w:rsidRPr="00B74A35" w:rsidRDefault="00EE7477" w:rsidP="00B74A35">
            <w:pPr>
              <w:pStyle w:val="TableParagraph"/>
              <w:spacing w:line="252" w:lineRule="exact"/>
              <w:ind w:right="100"/>
              <w:jc w:val="right"/>
              <w:rPr>
                <w:rFonts w:ascii="Arial"/>
                <w:sz w:val="24"/>
                <w:szCs w:val="24"/>
              </w:rPr>
            </w:pPr>
            <w:r w:rsidRPr="00B74A35">
              <w:rPr>
                <w:rFonts w:ascii="Arial"/>
                <w:sz w:val="24"/>
                <w:szCs w:val="24"/>
              </w:rPr>
              <w:t>171,50</w:t>
            </w:r>
          </w:p>
        </w:tc>
      </w:tr>
      <w:tr w:rsidR="00C93396">
        <w:trPr>
          <w:trHeight w:val="737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2" w:line="220" w:lineRule="atLeast"/>
              <w:ind w:left="255" w:right="818" w:hanging="201"/>
              <w:jc w:val="both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3. Zaliczki na środki trwałe w budowie (inwestycje)</w:t>
            </w:r>
          </w:p>
        </w:tc>
        <w:tc>
          <w:tcPr>
            <w:tcW w:w="1304" w:type="dxa"/>
            <w:gridSpan w:val="2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5" w:line="249" w:lineRule="auto"/>
              <w:ind w:left="251" w:right="574" w:hanging="201"/>
              <w:rPr>
                <w:sz w:val="19"/>
              </w:rPr>
            </w:pPr>
            <w:r>
              <w:rPr>
                <w:color w:val="2E2014"/>
                <w:sz w:val="19"/>
              </w:rPr>
              <w:t>1. Zobowiązania z tytułu dostaw i usług</w:t>
            </w:r>
          </w:p>
        </w:tc>
        <w:tc>
          <w:tcPr>
            <w:tcW w:w="1303" w:type="dxa"/>
          </w:tcPr>
          <w:p w:rsidR="00C93396" w:rsidRPr="00B74A35" w:rsidRDefault="00B74A35" w:rsidP="00B74A35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74A35">
              <w:rPr>
                <w:rFonts w:ascii="Arial" w:hAnsi="Arial" w:cs="Arial"/>
                <w:sz w:val="24"/>
                <w:szCs w:val="24"/>
              </w:rPr>
              <w:t>234,34</w:t>
            </w:r>
          </w:p>
        </w:tc>
        <w:tc>
          <w:tcPr>
            <w:tcW w:w="1303" w:type="dxa"/>
          </w:tcPr>
          <w:p w:rsidR="00C93396" w:rsidRPr="00B74A35" w:rsidRDefault="00C93396" w:rsidP="00B74A35">
            <w:pPr>
              <w:pStyle w:val="TableParagraph"/>
              <w:spacing w:before="4"/>
              <w:jc w:val="right"/>
              <w:rPr>
                <w:sz w:val="24"/>
                <w:szCs w:val="24"/>
              </w:rPr>
            </w:pPr>
          </w:p>
          <w:p w:rsidR="00C93396" w:rsidRPr="00B74A35" w:rsidRDefault="00B74A35" w:rsidP="00B74A35">
            <w:pPr>
              <w:pStyle w:val="TableParagraph"/>
              <w:ind w:right="71"/>
              <w:jc w:val="right"/>
              <w:rPr>
                <w:rFonts w:ascii="Arial"/>
                <w:sz w:val="24"/>
                <w:szCs w:val="24"/>
              </w:rPr>
            </w:pPr>
            <w:r w:rsidRPr="00B74A35">
              <w:rPr>
                <w:rFonts w:ascii="Arial"/>
                <w:sz w:val="24"/>
                <w:szCs w:val="24"/>
              </w:rPr>
              <w:t>171,50</w:t>
            </w:r>
          </w:p>
        </w:tc>
      </w:tr>
      <w:tr w:rsidR="00C93396">
        <w:trPr>
          <w:trHeight w:val="493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3" w:line="220" w:lineRule="atLeast"/>
              <w:ind w:left="356" w:right="837" w:hanging="302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III. Należności długoterminowe</w:t>
            </w:r>
          </w:p>
        </w:tc>
        <w:tc>
          <w:tcPr>
            <w:tcW w:w="1304" w:type="dxa"/>
            <w:gridSpan w:val="2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3" w:line="220" w:lineRule="atLeast"/>
              <w:ind w:left="241" w:right="652" w:hanging="190"/>
              <w:rPr>
                <w:sz w:val="19"/>
              </w:rPr>
            </w:pPr>
            <w:r>
              <w:rPr>
                <w:color w:val="2E2014"/>
                <w:sz w:val="19"/>
              </w:rPr>
              <w:t>2. Zobowiązania wobec budżetów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772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4" w:line="249" w:lineRule="auto"/>
              <w:ind w:left="377" w:right="684" w:hanging="322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IV. Długoterminowe aktywa finansowe</w:t>
            </w:r>
          </w:p>
        </w:tc>
        <w:tc>
          <w:tcPr>
            <w:tcW w:w="1304" w:type="dxa"/>
            <w:gridSpan w:val="2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5" w:line="249" w:lineRule="auto"/>
              <w:ind w:left="251" w:right="574" w:hanging="201"/>
              <w:rPr>
                <w:sz w:val="19"/>
              </w:rPr>
            </w:pPr>
            <w:r>
              <w:rPr>
                <w:color w:val="2E2014"/>
                <w:sz w:val="19"/>
              </w:rPr>
              <w:t>3. Zobowiązania z tytułu ubezpieczeń i innych świadczeń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589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4"/>
              <w:rPr>
                <w:sz w:val="19"/>
              </w:rPr>
            </w:pPr>
            <w:r>
              <w:rPr>
                <w:color w:val="2E2014"/>
                <w:sz w:val="19"/>
              </w:rPr>
              <w:t>1. Akcje i udziały</w:t>
            </w:r>
          </w:p>
        </w:tc>
        <w:tc>
          <w:tcPr>
            <w:tcW w:w="1304" w:type="dxa"/>
            <w:gridSpan w:val="2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5" w:line="249" w:lineRule="auto"/>
              <w:ind w:left="251" w:right="574" w:hanging="201"/>
              <w:rPr>
                <w:sz w:val="19"/>
              </w:rPr>
            </w:pPr>
            <w:r>
              <w:rPr>
                <w:color w:val="2E2014"/>
                <w:sz w:val="19"/>
              </w:rPr>
              <w:t>4. Zobowiązania z tytułu wynagrodzeń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349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4"/>
              <w:rPr>
                <w:sz w:val="19"/>
              </w:rPr>
            </w:pPr>
            <w:r>
              <w:rPr>
                <w:color w:val="2E2014"/>
                <w:sz w:val="19"/>
              </w:rPr>
              <w:t>2. Inne papiery wartościowe</w:t>
            </w:r>
          </w:p>
        </w:tc>
        <w:tc>
          <w:tcPr>
            <w:tcW w:w="1304" w:type="dxa"/>
            <w:gridSpan w:val="2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5"/>
              <w:ind w:left="51"/>
              <w:rPr>
                <w:sz w:val="19"/>
              </w:rPr>
            </w:pPr>
            <w:r>
              <w:rPr>
                <w:color w:val="2E2014"/>
                <w:sz w:val="19"/>
              </w:rPr>
              <w:t>5. Pozostałe zobowiązania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772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 w:line="249" w:lineRule="auto"/>
              <w:ind w:left="255" w:right="638" w:hanging="201"/>
              <w:rPr>
                <w:sz w:val="19"/>
              </w:rPr>
            </w:pPr>
            <w:r>
              <w:rPr>
                <w:color w:val="2E2014"/>
                <w:sz w:val="19"/>
              </w:rPr>
              <w:t>3. Inne długoterminowe aktywa finansowe</w:t>
            </w:r>
          </w:p>
        </w:tc>
        <w:tc>
          <w:tcPr>
            <w:tcW w:w="1304" w:type="dxa"/>
            <w:gridSpan w:val="2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5" w:line="249" w:lineRule="auto"/>
              <w:ind w:left="251" w:right="231" w:hanging="201"/>
              <w:rPr>
                <w:sz w:val="19"/>
              </w:rPr>
            </w:pPr>
            <w:r>
              <w:rPr>
                <w:color w:val="2E2014"/>
                <w:sz w:val="19"/>
              </w:rPr>
              <w:t>6. Sumy obce (depozytowe, zabezpieczenie wykonania umów)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967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2" w:line="249" w:lineRule="auto"/>
              <w:ind w:left="299" w:right="76" w:hanging="244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V. Wartość mienia zlikwidowanych jednostek</w:t>
            </w:r>
          </w:p>
        </w:tc>
        <w:tc>
          <w:tcPr>
            <w:tcW w:w="1304" w:type="dxa"/>
            <w:gridSpan w:val="2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C93396" w:rsidRDefault="00CB7DFF">
            <w:pPr>
              <w:pStyle w:val="TableParagraph"/>
              <w:spacing w:before="55" w:line="249" w:lineRule="auto"/>
              <w:ind w:left="251" w:right="731" w:hanging="201"/>
              <w:jc w:val="both"/>
              <w:rPr>
                <w:sz w:val="19"/>
              </w:rPr>
            </w:pPr>
            <w:r>
              <w:rPr>
                <w:color w:val="2E2014"/>
                <w:sz w:val="19"/>
              </w:rPr>
              <w:t>7. Rozliczenia z tytułu środków na wydatki budżetowe i z tytułu</w:t>
            </w:r>
          </w:p>
          <w:p w:rsidR="00C93396" w:rsidRDefault="00CB7DFF">
            <w:pPr>
              <w:pStyle w:val="TableParagraph"/>
              <w:spacing w:line="211" w:lineRule="exact"/>
              <w:ind w:left="251"/>
              <w:jc w:val="both"/>
              <w:rPr>
                <w:sz w:val="19"/>
              </w:rPr>
            </w:pPr>
            <w:r>
              <w:rPr>
                <w:color w:val="2E2014"/>
                <w:sz w:val="19"/>
              </w:rPr>
              <w:t>dochodów budżetowych</w:t>
            </w: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</w:tbl>
    <w:p w:rsidR="00C93396" w:rsidRDefault="00B74A35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4910455</wp:posOffset>
                </wp:positionH>
                <wp:positionV relativeFrom="page">
                  <wp:posOffset>1903730</wp:posOffset>
                </wp:positionV>
                <wp:extent cx="1009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8532">
                          <a:solidFill>
                            <a:srgbClr val="E521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7F85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65pt,149.9pt" to="394.6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" strokecolor="#e52136" strokeweight=".237mm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6571615</wp:posOffset>
                </wp:positionH>
                <wp:positionV relativeFrom="page">
                  <wp:posOffset>3945890</wp:posOffset>
                </wp:positionV>
                <wp:extent cx="4267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11918">
                          <a:solidFill>
                            <a:srgbClr val="69D9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72C30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7.45pt,310.7pt" to="551.0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" strokecolor="#69d925" strokeweight=".33106mm">
                <w10:wrap anchorx="page" anchory="page"/>
              </v:line>
            </w:pict>
          </mc:Fallback>
        </mc:AlternateContent>
      </w:r>
    </w:p>
    <w:p w:rsidR="00C93396" w:rsidRDefault="00C93396">
      <w:pPr>
        <w:rPr>
          <w:sz w:val="2"/>
          <w:szCs w:val="2"/>
        </w:rPr>
        <w:sectPr w:rsidR="00C93396">
          <w:type w:val="continuous"/>
          <w:pgSz w:w="11910" w:h="16840"/>
          <w:pgMar w:top="980" w:right="62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217" w:type="dxa"/>
        <w:tblBorders>
          <w:top w:val="single" w:sz="6" w:space="0" w:color="2E2014"/>
          <w:left w:val="single" w:sz="6" w:space="0" w:color="2E2014"/>
          <w:bottom w:val="single" w:sz="6" w:space="0" w:color="2E2014"/>
          <w:right w:val="single" w:sz="6" w:space="0" w:color="2E2014"/>
          <w:insideH w:val="single" w:sz="6" w:space="0" w:color="2E2014"/>
          <w:insideV w:val="single" w:sz="6" w:space="0" w:color="2E2014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302"/>
        <w:gridCol w:w="1302"/>
        <w:gridCol w:w="2546"/>
        <w:gridCol w:w="1302"/>
        <w:gridCol w:w="1302"/>
      </w:tblGrid>
      <w:tr w:rsidR="00C93396">
        <w:trPr>
          <w:trHeight w:val="349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lastRenderedPageBreak/>
              <w:t>B. Aktywa obrotowe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B7DFF">
            <w:pPr>
              <w:pStyle w:val="TableParagraph"/>
              <w:spacing w:before="56"/>
              <w:ind w:left="55"/>
              <w:rPr>
                <w:sz w:val="19"/>
              </w:rPr>
            </w:pPr>
            <w:r>
              <w:rPr>
                <w:color w:val="2E2014"/>
                <w:sz w:val="19"/>
              </w:rPr>
              <w:t>8. Fundusze specjalne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553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I. Zapasy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B7DFF">
            <w:pPr>
              <w:pStyle w:val="TableParagraph"/>
              <w:spacing w:before="55"/>
              <w:ind w:left="398" w:right="398" w:hanging="344"/>
              <w:rPr>
                <w:sz w:val="19"/>
              </w:rPr>
            </w:pPr>
            <w:r>
              <w:rPr>
                <w:color w:val="2E2014"/>
                <w:sz w:val="19"/>
              </w:rPr>
              <w:t>8.1. Zakładowy Fundusz Świadczeń Socjalnych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372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1. Materiały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B7DFF">
            <w:pPr>
              <w:pStyle w:val="TableParagraph"/>
              <w:spacing w:before="55"/>
              <w:ind w:left="55"/>
              <w:rPr>
                <w:sz w:val="19"/>
              </w:rPr>
            </w:pPr>
            <w:r>
              <w:rPr>
                <w:color w:val="2E2014"/>
                <w:sz w:val="19"/>
              </w:rPr>
              <w:t>8.2. Inne fundusze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539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257" w:right="494" w:hanging="202"/>
              <w:rPr>
                <w:sz w:val="19"/>
              </w:rPr>
            </w:pPr>
            <w:r>
              <w:rPr>
                <w:color w:val="2E2014"/>
                <w:sz w:val="19"/>
              </w:rPr>
              <w:t>2. Półprodukty i produkty w toku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B7DFF">
            <w:pPr>
              <w:pStyle w:val="TableParagraph"/>
              <w:spacing w:before="55"/>
              <w:ind w:left="55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III. Rezerwy na zobowiązania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552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3. Produkty gotowe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B7DFF">
            <w:pPr>
              <w:pStyle w:val="TableParagraph"/>
              <w:spacing w:before="55"/>
              <w:ind w:left="370" w:hanging="315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 xml:space="preserve">IV. Rozliczenia </w:t>
            </w:r>
            <w:r>
              <w:rPr>
                <w:b/>
                <w:color w:val="2E2014"/>
                <w:w w:val="95"/>
                <w:sz w:val="19"/>
              </w:rPr>
              <w:t>międzyokresowe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spacing w:before="5"/>
              <w:rPr>
                <w:sz w:val="25"/>
              </w:rPr>
            </w:pPr>
          </w:p>
          <w:p w:rsidR="00C93396" w:rsidRDefault="00B74A35">
            <w:pPr>
              <w:pStyle w:val="TableParagraph"/>
              <w:spacing w:line="240" w:lineRule="exact"/>
              <w:ind w:right="1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  <w:r>
              <w:rPr>
                <w:rFonts w:ascii="Arial"/>
                <w:sz w:val="24"/>
              </w:rPr>
              <w:t> </w:t>
            </w:r>
            <w:r>
              <w:rPr>
                <w:rFonts w:ascii="Arial"/>
                <w:sz w:val="24"/>
              </w:rPr>
              <w:t>890,00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spacing w:before="1"/>
              <w:rPr>
                <w:sz w:val="28"/>
              </w:rPr>
            </w:pPr>
          </w:p>
          <w:p w:rsidR="00C93396" w:rsidRDefault="00B74A35">
            <w:pPr>
              <w:pStyle w:val="TableParagraph"/>
              <w:spacing w:line="209" w:lineRule="exact"/>
              <w:ind w:right="14"/>
              <w:jc w:val="right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</w:tr>
      <w:tr w:rsidR="00C93396">
        <w:trPr>
          <w:trHeight w:val="349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4. Towary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539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299" w:right="799" w:hanging="244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II. Należności krótkoterminowe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538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244" w:right="215" w:hanging="189"/>
              <w:rPr>
                <w:sz w:val="19"/>
              </w:rPr>
            </w:pPr>
            <w:r>
              <w:rPr>
                <w:color w:val="2E2014"/>
                <w:sz w:val="19"/>
              </w:rPr>
              <w:t>1. Należności z tytułu dostaw i usług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371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2. Należności od budżetów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776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 w:line="249" w:lineRule="auto"/>
              <w:ind w:left="255" w:right="654" w:hanging="200"/>
              <w:rPr>
                <w:sz w:val="19"/>
              </w:rPr>
            </w:pPr>
            <w:r>
              <w:rPr>
                <w:color w:val="2E2014"/>
                <w:sz w:val="19"/>
              </w:rPr>
              <w:t>3. Należności z tytułu ubezpieczeń i innych świadczeń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371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4. Pozostałe należności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986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 w:line="249" w:lineRule="auto"/>
              <w:ind w:left="255" w:right="46" w:hanging="200"/>
              <w:rPr>
                <w:sz w:val="19"/>
              </w:rPr>
            </w:pPr>
            <w:r>
              <w:rPr>
                <w:color w:val="2E2014"/>
                <w:sz w:val="19"/>
              </w:rPr>
              <w:t>5. Rozliczenia z tytułu środków na wydatki budżetowe</w:t>
            </w:r>
          </w:p>
          <w:p w:rsidR="00C93396" w:rsidRDefault="00CB7DFF">
            <w:pPr>
              <w:pStyle w:val="TableParagraph"/>
              <w:spacing w:line="249" w:lineRule="auto"/>
              <w:ind w:left="255" w:right="743"/>
              <w:rPr>
                <w:sz w:val="19"/>
              </w:rPr>
            </w:pPr>
            <w:r>
              <w:rPr>
                <w:color w:val="2E2014"/>
                <w:sz w:val="19"/>
              </w:rPr>
              <w:t>i z tytułu dochodów budżetowych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586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4" w:line="249" w:lineRule="auto"/>
              <w:ind w:left="356" w:right="682" w:hanging="299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III. Krótkoterminowe aktywa finansowe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351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1. Środki pieniężne w kasie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589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 w:line="249" w:lineRule="auto"/>
              <w:ind w:left="255" w:right="459" w:hanging="200"/>
              <w:rPr>
                <w:sz w:val="19"/>
              </w:rPr>
            </w:pPr>
            <w:r>
              <w:rPr>
                <w:color w:val="2E2014"/>
                <w:sz w:val="19"/>
              </w:rPr>
              <w:t>2. Środki pieniężne na rachunkach bankowych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761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 w:line="249" w:lineRule="auto"/>
              <w:ind w:left="255" w:right="469" w:hanging="200"/>
              <w:rPr>
                <w:sz w:val="19"/>
              </w:rPr>
            </w:pPr>
            <w:r>
              <w:rPr>
                <w:color w:val="2E2014"/>
                <w:sz w:val="19"/>
              </w:rPr>
              <w:t>3. Środki pieniężne państwowego funduszu celowego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372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4. Inne środki pieniężne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349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5. Akcje lub udziały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349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/>
              <w:ind w:left="56"/>
              <w:rPr>
                <w:sz w:val="19"/>
              </w:rPr>
            </w:pPr>
            <w:r>
              <w:rPr>
                <w:color w:val="2E2014"/>
                <w:sz w:val="19"/>
              </w:rPr>
              <w:t>6. Inne papiery wartościowe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589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5" w:line="249" w:lineRule="auto"/>
              <w:ind w:left="255" w:right="574" w:hanging="200"/>
              <w:rPr>
                <w:sz w:val="19"/>
              </w:rPr>
            </w:pPr>
            <w:r>
              <w:rPr>
                <w:color w:val="2E2014"/>
                <w:sz w:val="19"/>
              </w:rPr>
              <w:t>7. Inne krótkoterminowe aktywa finansowe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539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4"/>
              <w:ind w:left="356" w:hanging="300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 xml:space="preserve">IV. Rozliczenia </w:t>
            </w:r>
            <w:r>
              <w:rPr>
                <w:b/>
                <w:color w:val="2E2014"/>
                <w:w w:val="95"/>
                <w:sz w:val="19"/>
              </w:rPr>
              <w:t>międzyokresowe</w:t>
            </w: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C93396" w:rsidRDefault="00C93396">
            <w:pPr>
              <w:pStyle w:val="TableParagraph"/>
              <w:rPr>
                <w:sz w:val="18"/>
              </w:rPr>
            </w:pPr>
          </w:p>
        </w:tc>
      </w:tr>
      <w:tr w:rsidR="00C93396">
        <w:trPr>
          <w:trHeight w:val="372"/>
        </w:trPr>
        <w:tc>
          <w:tcPr>
            <w:tcW w:w="2548" w:type="dxa"/>
          </w:tcPr>
          <w:p w:rsidR="00C93396" w:rsidRDefault="00CB7DFF">
            <w:pPr>
              <w:pStyle w:val="TableParagraph"/>
              <w:spacing w:before="54"/>
              <w:ind w:left="56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Suma aktywów</w:t>
            </w:r>
          </w:p>
        </w:tc>
        <w:tc>
          <w:tcPr>
            <w:tcW w:w="1302" w:type="dxa"/>
          </w:tcPr>
          <w:p w:rsidR="00C93396" w:rsidRDefault="00EE7477">
            <w:pPr>
              <w:pStyle w:val="TableParagraph"/>
              <w:spacing w:before="119" w:line="234" w:lineRule="exact"/>
              <w:ind w:left="287"/>
              <w:rPr>
                <w:rFonts w:ascii="Arial"/>
              </w:rPr>
            </w:pPr>
            <w:r>
              <w:rPr>
                <w:rFonts w:ascii="Arial"/>
              </w:rPr>
              <w:t>21</w:t>
            </w:r>
            <w:r w:rsidR="00B74A35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459,29</w:t>
            </w:r>
          </w:p>
        </w:tc>
        <w:tc>
          <w:tcPr>
            <w:tcW w:w="1302" w:type="dxa"/>
          </w:tcPr>
          <w:p w:rsidR="00C93396" w:rsidRDefault="00EE7477">
            <w:pPr>
              <w:pStyle w:val="TableParagraph"/>
              <w:spacing w:before="113" w:line="240" w:lineRule="exact"/>
              <w:ind w:left="1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2546" w:type="dxa"/>
          </w:tcPr>
          <w:p w:rsidR="00C93396" w:rsidRDefault="00CB7DFF">
            <w:pPr>
              <w:pStyle w:val="TableParagraph"/>
              <w:spacing w:before="54"/>
              <w:ind w:left="55"/>
              <w:rPr>
                <w:b/>
                <w:sz w:val="19"/>
              </w:rPr>
            </w:pPr>
            <w:r>
              <w:rPr>
                <w:b/>
                <w:color w:val="2E2014"/>
                <w:sz w:val="19"/>
              </w:rPr>
              <w:t>Suma pasywów</w:t>
            </w:r>
          </w:p>
        </w:tc>
        <w:tc>
          <w:tcPr>
            <w:tcW w:w="1302" w:type="dxa"/>
          </w:tcPr>
          <w:p w:rsidR="00C93396" w:rsidRDefault="00B74A35">
            <w:pPr>
              <w:pStyle w:val="TableParagraph"/>
              <w:spacing w:before="151" w:line="201" w:lineRule="exact"/>
              <w:ind w:right="12"/>
              <w:jc w:val="right"/>
              <w:rPr>
                <w:rFonts w:ascii="Arial"/>
              </w:rPr>
            </w:pPr>
            <w:r>
              <w:rPr>
                <w:rFonts w:ascii="Arial"/>
              </w:rPr>
              <w:t>21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>459,29</w:t>
            </w:r>
          </w:p>
        </w:tc>
        <w:tc>
          <w:tcPr>
            <w:tcW w:w="1302" w:type="dxa"/>
          </w:tcPr>
          <w:p w:rsidR="00C93396" w:rsidRDefault="00B74A35">
            <w:pPr>
              <w:pStyle w:val="TableParagraph"/>
              <w:spacing w:before="121" w:line="232" w:lineRule="exact"/>
              <w:ind w:right="2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</w:tbl>
    <w:p w:rsidR="00C93396" w:rsidRDefault="00C93396">
      <w:pPr>
        <w:rPr>
          <w:sz w:val="20"/>
        </w:rPr>
      </w:pPr>
    </w:p>
    <w:p w:rsidR="00C93396" w:rsidRDefault="00C93396">
      <w:pPr>
        <w:rPr>
          <w:sz w:val="20"/>
        </w:rPr>
      </w:pPr>
    </w:p>
    <w:p w:rsidR="00C93396" w:rsidRDefault="00861615">
      <w:pPr>
        <w:rPr>
          <w:sz w:val="20"/>
        </w:rPr>
      </w:pPr>
      <w:r>
        <w:rPr>
          <w:sz w:val="20"/>
        </w:rPr>
        <w:t xml:space="preserve"> </w:t>
      </w:r>
    </w:p>
    <w:p w:rsidR="00C93396" w:rsidRDefault="00C93396">
      <w:pPr>
        <w:spacing w:before="3" w:after="1"/>
        <w:rPr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090"/>
        <w:gridCol w:w="3890"/>
        <w:gridCol w:w="2958"/>
      </w:tblGrid>
      <w:tr w:rsidR="00C93396">
        <w:trPr>
          <w:trHeight w:val="171"/>
        </w:trPr>
        <w:tc>
          <w:tcPr>
            <w:tcW w:w="3090" w:type="dxa"/>
          </w:tcPr>
          <w:p w:rsidR="00C93396" w:rsidRDefault="00CB7DFF">
            <w:pPr>
              <w:pStyle w:val="TableParagraph"/>
              <w:spacing w:line="152" w:lineRule="exact"/>
              <w:ind w:left="180" w:right="1110"/>
              <w:jc w:val="center"/>
              <w:rPr>
                <w:sz w:val="16"/>
              </w:rPr>
            </w:pPr>
            <w:r>
              <w:rPr>
                <w:color w:val="2E2014"/>
                <w:sz w:val="16"/>
              </w:rPr>
              <w:t>……………………………</w:t>
            </w:r>
          </w:p>
        </w:tc>
        <w:tc>
          <w:tcPr>
            <w:tcW w:w="3890" w:type="dxa"/>
          </w:tcPr>
          <w:p w:rsidR="00C93396" w:rsidRPr="00861615" w:rsidRDefault="00861615" w:rsidP="00B74A35">
            <w:pPr>
              <w:pStyle w:val="TableParagraph"/>
              <w:spacing w:line="152" w:lineRule="exact"/>
              <w:ind w:right="986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                         </w:t>
            </w:r>
            <w:r w:rsidR="005275C1">
              <w:rPr>
                <w:sz w:val="16"/>
              </w:rPr>
              <w:t xml:space="preserve">         </w:t>
            </w:r>
            <w:r>
              <w:rPr>
                <w:sz w:val="16"/>
              </w:rPr>
              <w:t xml:space="preserve">   </w:t>
            </w:r>
            <w:r w:rsidR="00B74A35">
              <w:rPr>
                <w:sz w:val="18"/>
                <w:szCs w:val="18"/>
              </w:rPr>
              <w:t>2023-03-15</w:t>
            </w:r>
            <w:bookmarkStart w:id="0" w:name="_GoBack"/>
            <w:bookmarkEnd w:id="0"/>
          </w:p>
        </w:tc>
        <w:tc>
          <w:tcPr>
            <w:tcW w:w="2958" w:type="dxa"/>
          </w:tcPr>
          <w:p w:rsidR="00C93396" w:rsidRDefault="00CB7DFF">
            <w:pPr>
              <w:pStyle w:val="TableParagraph"/>
              <w:spacing w:line="152" w:lineRule="exact"/>
              <w:ind w:left="978" w:right="179"/>
              <w:jc w:val="center"/>
              <w:rPr>
                <w:sz w:val="16"/>
              </w:rPr>
            </w:pPr>
            <w:r>
              <w:rPr>
                <w:color w:val="2E2014"/>
                <w:sz w:val="16"/>
              </w:rPr>
              <w:t>……………………………</w:t>
            </w:r>
          </w:p>
        </w:tc>
      </w:tr>
      <w:tr w:rsidR="00C93396">
        <w:trPr>
          <w:trHeight w:val="171"/>
        </w:trPr>
        <w:tc>
          <w:tcPr>
            <w:tcW w:w="3090" w:type="dxa"/>
          </w:tcPr>
          <w:p w:rsidR="00C93396" w:rsidRDefault="00CB7DFF">
            <w:pPr>
              <w:pStyle w:val="TableParagraph"/>
              <w:spacing w:line="152" w:lineRule="exact"/>
              <w:ind w:left="160" w:right="1110"/>
              <w:jc w:val="center"/>
              <w:rPr>
                <w:sz w:val="16"/>
              </w:rPr>
            </w:pPr>
            <w:r>
              <w:rPr>
                <w:color w:val="2E2014"/>
                <w:sz w:val="16"/>
              </w:rPr>
              <w:t>(główny księgowy)</w:t>
            </w:r>
          </w:p>
        </w:tc>
        <w:tc>
          <w:tcPr>
            <w:tcW w:w="3890" w:type="dxa"/>
          </w:tcPr>
          <w:p w:rsidR="00C93396" w:rsidRDefault="00CB7DFF">
            <w:pPr>
              <w:pStyle w:val="TableParagraph"/>
              <w:spacing w:line="152" w:lineRule="exact"/>
              <w:ind w:left="1081" w:right="986"/>
              <w:jc w:val="center"/>
              <w:rPr>
                <w:sz w:val="16"/>
              </w:rPr>
            </w:pPr>
            <w:r>
              <w:rPr>
                <w:color w:val="2E2014"/>
                <w:sz w:val="16"/>
              </w:rPr>
              <w:t>(rok, miesiąc, dzień)</w:t>
            </w:r>
          </w:p>
        </w:tc>
        <w:tc>
          <w:tcPr>
            <w:tcW w:w="2958" w:type="dxa"/>
          </w:tcPr>
          <w:p w:rsidR="00C93396" w:rsidRDefault="00CB7DFF">
            <w:pPr>
              <w:pStyle w:val="TableParagraph"/>
              <w:spacing w:line="152" w:lineRule="exact"/>
              <w:ind w:left="938" w:right="179"/>
              <w:jc w:val="center"/>
              <w:rPr>
                <w:sz w:val="16"/>
              </w:rPr>
            </w:pPr>
            <w:r>
              <w:rPr>
                <w:color w:val="2E2014"/>
                <w:sz w:val="16"/>
              </w:rPr>
              <w:t>(kierownik jednostki)</w:t>
            </w:r>
          </w:p>
        </w:tc>
      </w:tr>
    </w:tbl>
    <w:p w:rsidR="00CB7DFF" w:rsidRDefault="00CB7DFF"/>
    <w:sectPr w:rsidR="00CB7DFF">
      <w:pgSz w:w="11910" w:h="16840"/>
      <w:pgMar w:top="1460" w:right="62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96"/>
    <w:rsid w:val="005275C1"/>
    <w:rsid w:val="00861615"/>
    <w:rsid w:val="00B74A35"/>
    <w:rsid w:val="00C93396"/>
    <w:rsid w:val="00CB7DFF"/>
    <w:rsid w:val="00E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AC22"/>
  <w15:docId w15:val="{988DA492-E5E7-4C7D-BA52-FECCADDC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Bilans jednostki budżetowej lub samorządowego zakładu budżetowego</vt:lpstr>
    </vt:vector>
  </TitlesOfParts>
  <Company>Hewlett-Packard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Bilans jednostki budżetowej lub samorządowego zakładu budżetowego</dc:title>
  <dc:creator>Biblioteka</dc:creator>
  <cp:lastModifiedBy>HP</cp:lastModifiedBy>
  <cp:revision>2</cp:revision>
  <dcterms:created xsi:type="dcterms:W3CDTF">2023-03-29T10:45:00Z</dcterms:created>
  <dcterms:modified xsi:type="dcterms:W3CDTF">2023-03-29T10:45:00Z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2022-04-08T00:00:00Z</vt:filetime>
  </property>
</Properties>
</file>